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2E257" w14:textId="68FA3C5A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815042">
        <w:rPr>
          <w:rFonts w:ascii="Cambria" w:eastAsia="Calibri" w:hAnsi="Cambria" w:cs="Times New Roman"/>
          <w:b/>
          <w:sz w:val="24"/>
          <w:szCs w:val="24"/>
        </w:rPr>
        <w:t>78</w:t>
      </w:r>
      <w:bookmarkStart w:id="0" w:name="_GoBack"/>
      <w:bookmarkEnd w:id="0"/>
      <w:r w:rsidR="006D552E" w:rsidRPr="001A48A5">
        <w:rPr>
          <w:rFonts w:ascii="Cambria" w:eastAsia="Calibri" w:hAnsi="Cambria" w:cs="Times New Roman"/>
          <w:b/>
          <w:sz w:val="24"/>
          <w:szCs w:val="24"/>
        </w:rPr>
        <w:t>.2024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Pr="001A48A5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74EC71D1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5E6912">
        <w:rPr>
          <w:rFonts w:ascii="Cambria" w:eastAsia="Calibri" w:hAnsi="Cambria" w:cs="Times New Roman"/>
          <w:b/>
          <w:sz w:val="24"/>
          <w:szCs w:val="24"/>
        </w:rPr>
        <w:t>„</w:t>
      </w:r>
      <w:r w:rsidR="00815042" w:rsidRPr="00B21295">
        <w:rPr>
          <w:rFonts w:ascii="Cambria" w:hAnsi="Cambria"/>
          <w:b/>
        </w:rPr>
        <w:t>Remont płyty postojowej dla samolotów na lotnisku w Suwałkach</w:t>
      </w:r>
      <w:r w:rsidR="005E6912">
        <w:rPr>
          <w:rFonts w:ascii="Cambria" w:hAnsi="Cambria" w:cs="Times New Roman"/>
          <w:b/>
          <w:sz w:val="24"/>
          <w:szCs w:val="24"/>
        </w:rPr>
        <w:t>”</w:t>
      </w:r>
      <w:r w:rsidR="005E6912">
        <w:rPr>
          <w:rFonts w:ascii="Cambria" w:hAnsi="Cambria"/>
          <w:b/>
          <w:sz w:val="24"/>
          <w:szCs w:val="24"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28557A99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1B33F3">
        <w:rPr>
          <w:rFonts w:ascii="Cambria" w:hAnsi="Cambria"/>
          <w:iCs/>
          <w:sz w:val="21"/>
          <w:szCs w:val="21"/>
        </w:rPr>
        <w:t>4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 </w:t>
      </w:r>
      <w:r w:rsidR="001B33F3">
        <w:rPr>
          <w:rFonts w:ascii="Cambria" w:hAnsi="Cambria"/>
          <w:iCs/>
          <w:sz w:val="21"/>
          <w:szCs w:val="21"/>
        </w:rPr>
        <w:t xml:space="preserve">507 </w:t>
      </w:r>
      <w:r w:rsidR="00EA4470" w:rsidRPr="001A48A5">
        <w:rPr>
          <w:rFonts w:ascii="Cambria" w:hAnsi="Cambria"/>
          <w:iCs/>
          <w:sz w:val="21"/>
          <w:szCs w:val="21"/>
        </w:rPr>
        <w:t>z późn. zm.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lastRenderedPageBreak/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1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1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2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3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ych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4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4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5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EB2D5" w14:textId="77777777" w:rsidR="00AC6785" w:rsidRDefault="00AC6785" w:rsidP="0038231F">
      <w:pPr>
        <w:spacing w:after="0" w:line="240" w:lineRule="auto"/>
      </w:pPr>
      <w:r>
        <w:separator/>
      </w:r>
    </w:p>
  </w:endnote>
  <w:endnote w:type="continuationSeparator" w:id="0">
    <w:p w14:paraId="6A7D095C" w14:textId="77777777" w:rsidR="00AC6785" w:rsidRDefault="00AC67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64BB5" w14:textId="77777777" w:rsidR="00AC6785" w:rsidRDefault="00AC6785" w:rsidP="0038231F">
      <w:pPr>
        <w:spacing w:after="0" w:line="240" w:lineRule="auto"/>
      </w:pPr>
      <w:r>
        <w:separator/>
      </w:r>
    </w:p>
  </w:footnote>
  <w:footnote w:type="continuationSeparator" w:id="0">
    <w:p w14:paraId="283BC64E" w14:textId="77777777" w:rsidR="00AC6785" w:rsidRDefault="00AC678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65C8ABB9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1B33F3">
        <w:rPr>
          <w:rFonts w:ascii="Times New Roman" w:hAnsi="Times New Roman" w:cs="Times New Roman"/>
          <w:sz w:val="16"/>
          <w:szCs w:val="16"/>
        </w:rPr>
        <w:t>3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1124 z późn.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4456B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B33F3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F3C35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15042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2"/>
    <w:rsid w:val="00E84757"/>
    <w:rsid w:val="00E84A7F"/>
    <w:rsid w:val="00E96851"/>
    <w:rsid w:val="00EA4470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8F21B-A71D-4872-A4EA-9F4DFD6C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57</cp:revision>
  <cp:lastPrinted>2024-08-01T05:20:00Z</cp:lastPrinted>
  <dcterms:created xsi:type="dcterms:W3CDTF">2022-05-06T13:11:00Z</dcterms:created>
  <dcterms:modified xsi:type="dcterms:W3CDTF">2024-09-30T12:04:00Z</dcterms:modified>
</cp:coreProperties>
</file>